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9EC60" w14:textId="77777777" w:rsidR="0088784A" w:rsidRDefault="0088784A">
      <w:pPr>
        <w:pStyle w:val="a3"/>
        <w:rPr>
          <w:rFonts w:ascii="Times New Roman"/>
          <w:sz w:val="20"/>
        </w:rPr>
      </w:pPr>
    </w:p>
    <w:p w14:paraId="0A8E1544" w14:textId="77777777" w:rsidR="0088784A" w:rsidRDefault="00150566">
      <w:pPr>
        <w:pStyle w:val="2"/>
        <w:spacing w:before="129"/>
        <w:ind w:left="159"/>
        <w:jc w:val="center"/>
        <w:rPr>
          <w:color w:val="231F20"/>
          <w:w w:val="75"/>
        </w:rPr>
      </w:pPr>
      <w:r>
        <w:rPr>
          <w:color w:val="231F20"/>
          <w:w w:val="75"/>
        </w:rPr>
        <w:t>《中国药房》</w:t>
      </w:r>
      <w:r>
        <w:rPr>
          <w:rFonts w:hint="eastAsia"/>
          <w:color w:val="231F20"/>
          <w:w w:val="75"/>
        </w:rPr>
        <w:fldChar w:fldCharType="begin"/>
      </w:r>
      <w:r>
        <w:rPr>
          <w:color w:val="231F20"/>
          <w:w w:val="75"/>
        </w:rPr>
        <w:instrText xml:space="preserve"> HYPERLINK "http://e.china-pharmacy.com/201902/editorial.html" </w:instrText>
      </w:r>
      <w:r>
        <w:rPr>
          <w:rFonts w:hint="eastAsia"/>
          <w:color w:val="231F20"/>
          <w:w w:val="75"/>
        </w:rPr>
        <w:fldChar w:fldCharType="separate"/>
      </w:r>
      <w:r>
        <w:rPr>
          <w:rFonts w:hint="eastAsia"/>
          <w:color w:val="231F20"/>
          <w:w w:val="75"/>
        </w:rPr>
        <w:t>网络版</w:t>
      </w:r>
    </w:p>
    <w:p w14:paraId="07D284E2" w14:textId="77777777" w:rsidR="0088784A" w:rsidRDefault="00150566">
      <w:pPr>
        <w:pStyle w:val="2"/>
        <w:spacing w:before="129"/>
        <w:ind w:left="159"/>
        <w:jc w:val="center"/>
        <w:rPr>
          <w:rFonts w:ascii="PMingLiU" w:eastAsia="PMingLiU"/>
        </w:rPr>
      </w:pPr>
      <w:r>
        <w:rPr>
          <w:rFonts w:hint="eastAsia"/>
          <w:color w:val="231F20"/>
          <w:w w:val="75"/>
        </w:rPr>
        <w:t>第一届编委会</w:t>
      </w:r>
      <w:r>
        <w:rPr>
          <w:rFonts w:hint="eastAsia"/>
          <w:color w:val="231F20"/>
          <w:w w:val="75"/>
        </w:rPr>
        <w:fldChar w:fldCharType="end"/>
      </w:r>
      <w:r>
        <w:rPr>
          <w:color w:val="231F20"/>
          <w:w w:val="75"/>
        </w:rPr>
        <w:t>暂行工作条例</w:t>
      </w:r>
      <w:r>
        <w:rPr>
          <w:rFonts w:ascii="PMingLiU" w:eastAsia="PMingLiU" w:hint="eastAsia"/>
          <w:color w:val="231F20"/>
          <w:w w:val="85"/>
        </w:rPr>
        <w:t>（</w:t>
      </w:r>
      <w:r>
        <w:rPr>
          <w:color w:val="231F20"/>
          <w:w w:val="85"/>
        </w:rPr>
        <w:t>讨论稿</w:t>
      </w:r>
      <w:r>
        <w:rPr>
          <w:rFonts w:ascii="PMingLiU" w:eastAsia="PMingLiU" w:hint="eastAsia"/>
          <w:color w:val="231F20"/>
          <w:w w:val="85"/>
        </w:rPr>
        <w:t>）</w:t>
      </w:r>
    </w:p>
    <w:p w14:paraId="324087E7" w14:textId="77777777" w:rsidR="0088784A" w:rsidRDefault="0088784A">
      <w:pPr>
        <w:pStyle w:val="a3"/>
        <w:spacing w:before="12"/>
        <w:rPr>
          <w:rFonts w:ascii="PMingLiU"/>
          <w:sz w:val="29"/>
        </w:rPr>
      </w:pPr>
    </w:p>
    <w:p w14:paraId="70AA6C6D" w14:textId="77777777" w:rsidR="0088784A" w:rsidRDefault="00150566">
      <w:pPr>
        <w:pStyle w:val="8"/>
        <w:tabs>
          <w:tab w:val="left" w:pos="959"/>
          <w:tab w:val="left" w:pos="1679"/>
        </w:tabs>
        <w:ind w:right="54"/>
      </w:pPr>
      <w:r>
        <w:rPr>
          <w:color w:val="231F20"/>
        </w:rPr>
        <w:t>第一章</w:t>
      </w:r>
      <w:r>
        <w:rPr>
          <w:color w:val="231F20"/>
        </w:rPr>
        <w:tab/>
      </w:r>
      <w:r>
        <w:rPr>
          <w:color w:val="231F20"/>
        </w:rPr>
        <w:t>总</w:t>
      </w:r>
      <w:r>
        <w:rPr>
          <w:color w:val="231F20"/>
        </w:rPr>
        <w:tab/>
      </w:r>
      <w:r>
        <w:rPr>
          <w:color w:val="231F20"/>
        </w:rPr>
        <w:t>则</w:t>
      </w:r>
    </w:p>
    <w:p w14:paraId="550E84B0" w14:textId="77777777" w:rsidR="0088784A" w:rsidRDefault="0088784A">
      <w:pPr>
        <w:pStyle w:val="a3"/>
        <w:spacing w:before="10"/>
        <w:rPr>
          <w:sz w:val="19"/>
        </w:rPr>
      </w:pPr>
    </w:p>
    <w:p w14:paraId="29052DC7" w14:textId="77777777" w:rsidR="0088784A" w:rsidRDefault="00150566">
      <w:pPr>
        <w:pStyle w:val="a3"/>
        <w:ind w:left="562"/>
        <w:rPr>
          <w:rFonts w:ascii="PMingLiU" w:eastAsia="PMingLiU"/>
        </w:rPr>
      </w:pPr>
      <w:r>
        <w:rPr>
          <w:color w:val="231F20"/>
        </w:rPr>
        <w:t>第一条</w:t>
      </w:r>
      <w:r>
        <w:rPr>
          <w:color w:val="231F20"/>
        </w:rPr>
        <w:t xml:space="preserve"> </w:t>
      </w:r>
      <w:r>
        <w:rPr>
          <w:color w:val="231F20"/>
        </w:rPr>
        <w:t>为了进一步加强编委工作</w:t>
      </w:r>
      <w:r>
        <w:rPr>
          <w:rFonts w:ascii="PMingLiU" w:eastAsia="PMingLiU" w:hint="eastAsia"/>
          <w:color w:val="231F20"/>
          <w:spacing w:val="-90"/>
        </w:rPr>
        <w:t>，</w:t>
      </w:r>
      <w:r>
        <w:rPr>
          <w:color w:val="231F20"/>
        </w:rPr>
        <w:t>发挥编委会的作用</w:t>
      </w:r>
      <w:r>
        <w:rPr>
          <w:rFonts w:ascii="PMingLiU" w:eastAsia="PMingLiU" w:hint="eastAsia"/>
          <w:color w:val="231F20"/>
          <w:spacing w:val="-90"/>
        </w:rPr>
        <w:t>，</w:t>
      </w:r>
      <w:r>
        <w:rPr>
          <w:color w:val="231F20"/>
        </w:rPr>
        <w:t>特制订本条例</w:t>
      </w:r>
      <w:r>
        <w:rPr>
          <w:rFonts w:ascii="PMingLiU" w:eastAsia="PMingLiU" w:hint="eastAsia"/>
          <w:color w:val="231F20"/>
        </w:rPr>
        <w:t>。</w:t>
      </w:r>
    </w:p>
    <w:p w14:paraId="46B9FCF7" w14:textId="77777777" w:rsidR="0088784A" w:rsidRDefault="00150566">
      <w:pPr>
        <w:pStyle w:val="a3"/>
        <w:spacing w:before="12"/>
        <w:ind w:left="562"/>
        <w:rPr>
          <w:rFonts w:ascii="PMingLiU" w:eastAsia="PMingLiU"/>
        </w:rPr>
      </w:pPr>
      <w:r>
        <w:rPr>
          <w:color w:val="231F20"/>
        </w:rPr>
        <w:t>第二条</w:t>
      </w:r>
      <w:r>
        <w:rPr>
          <w:color w:val="231F20"/>
        </w:rPr>
        <w:t xml:space="preserve"> </w:t>
      </w:r>
      <w:r>
        <w:rPr>
          <w:color w:val="231F20"/>
        </w:rPr>
        <w:t>编委会为本刊的学术指导机构</w:t>
      </w:r>
      <w:r>
        <w:rPr>
          <w:rFonts w:ascii="PMingLiU" w:eastAsia="PMingLiU" w:hint="eastAsia"/>
          <w:color w:val="231F20"/>
        </w:rPr>
        <w:t>。</w:t>
      </w:r>
    </w:p>
    <w:p w14:paraId="682A691E" w14:textId="77777777" w:rsidR="0088784A" w:rsidRDefault="0088784A">
      <w:pPr>
        <w:pStyle w:val="a3"/>
        <w:spacing w:before="8"/>
        <w:rPr>
          <w:rFonts w:ascii="PMingLiU"/>
          <w:sz w:val="16"/>
        </w:rPr>
      </w:pPr>
    </w:p>
    <w:p w14:paraId="3E0F987D" w14:textId="77777777" w:rsidR="0088784A" w:rsidRDefault="00150566">
      <w:pPr>
        <w:pStyle w:val="8"/>
        <w:tabs>
          <w:tab w:val="left" w:pos="959"/>
        </w:tabs>
        <w:ind w:right="54"/>
      </w:pPr>
      <w:r>
        <w:rPr>
          <w:color w:val="231F20"/>
        </w:rPr>
        <w:t>第二章</w:t>
      </w:r>
      <w:r>
        <w:rPr>
          <w:color w:val="231F20"/>
        </w:rPr>
        <w:tab/>
      </w:r>
      <w:r>
        <w:rPr>
          <w:color w:val="231F20"/>
        </w:rPr>
        <w:t>编委会的任务</w:t>
      </w:r>
    </w:p>
    <w:p w14:paraId="7759BF29" w14:textId="77777777" w:rsidR="0088784A" w:rsidRDefault="0088784A">
      <w:pPr>
        <w:pStyle w:val="a3"/>
        <w:spacing w:before="10"/>
        <w:rPr>
          <w:sz w:val="19"/>
        </w:rPr>
      </w:pPr>
    </w:p>
    <w:p w14:paraId="49077A3C" w14:textId="77777777" w:rsidR="0088784A" w:rsidRDefault="00150566">
      <w:pPr>
        <w:pStyle w:val="a3"/>
        <w:ind w:left="562"/>
        <w:rPr>
          <w:rFonts w:ascii="PMingLiU" w:eastAsia="PMingLiU"/>
        </w:rPr>
      </w:pPr>
      <w:r>
        <w:rPr>
          <w:color w:val="231F20"/>
          <w:spacing w:val="4"/>
        </w:rPr>
        <w:t>第三条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4"/>
        </w:rPr>
        <w:t>修订本刊的办刊宗旨</w:t>
      </w:r>
      <w:r>
        <w:rPr>
          <w:rFonts w:ascii="PMingLiU" w:eastAsia="PMingLiU" w:hint="eastAsia"/>
          <w:color w:val="231F20"/>
          <w:spacing w:val="-90"/>
        </w:rPr>
        <w:t>、</w:t>
      </w:r>
      <w:r>
        <w:rPr>
          <w:color w:val="231F20"/>
        </w:rPr>
        <w:t>方针</w:t>
      </w:r>
      <w:r>
        <w:rPr>
          <w:rFonts w:ascii="PMingLiU" w:eastAsia="PMingLiU" w:hint="eastAsia"/>
          <w:color w:val="231F20"/>
          <w:spacing w:val="-90"/>
        </w:rPr>
        <w:t>，</w:t>
      </w:r>
      <w:r>
        <w:rPr>
          <w:color w:val="231F20"/>
        </w:rPr>
        <w:t>制订本刊的发展规划</w:t>
      </w:r>
      <w:r>
        <w:rPr>
          <w:rFonts w:ascii="PMingLiU" w:eastAsia="PMingLiU" w:hint="eastAsia"/>
          <w:color w:val="231F20"/>
        </w:rPr>
        <w:t>。</w:t>
      </w:r>
    </w:p>
    <w:p w14:paraId="3EE930D4" w14:textId="77777777" w:rsidR="0088784A" w:rsidRDefault="00150566">
      <w:pPr>
        <w:pStyle w:val="a3"/>
        <w:spacing w:before="12" w:line="252" w:lineRule="auto"/>
        <w:ind w:left="202" w:right="256" w:firstLine="360"/>
        <w:rPr>
          <w:rFonts w:ascii="PMingLiU" w:eastAsia="PMingLiU"/>
        </w:rPr>
      </w:pPr>
      <w:r>
        <w:rPr>
          <w:color w:val="231F20"/>
        </w:rPr>
        <w:t>第四条</w:t>
      </w:r>
      <w:r>
        <w:rPr>
          <w:color w:val="231F20"/>
        </w:rPr>
        <w:t xml:space="preserve"> </w:t>
      </w:r>
      <w:r>
        <w:rPr>
          <w:color w:val="231F20"/>
        </w:rPr>
        <w:t>审议年度工作总结和下年度工作计划</w:t>
      </w:r>
      <w:r>
        <w:rPr>
          <w:rFonts w:ascii="PMingLiU" w:eastAsia="PMingLiU" w:hint="eastAsia"/>
          <w:color w:val="231F20"/>
          <w:spacing w:val="-90"/>
        </w:rPr>
        <w:t>，</w:t>
      </w:r>
      <w:r>
        <w:rPr>
          <w:color w:val="231F20"/>
        </w:rPr>
        <w:t>审议和通过本刊其他有关重大事项</w:t>
      </w:r>
      <w:r>
        <w:rPr>
          <w:rFonts w:ascii="PMingLiU" w:eastAsia="PMingLiU" w:hint="eastAsia"/>
          <w:color w:val="231F20"/>
        </w:rPr>
        <w:t>。</w:t>
      </w:r>
    </w:p>
    <w:p w14:paraId="13031779" w14:textId="77777777" w:rsidR="0088784A" w:rsidRDefault="00150566">
      <w:pPr>
        <w:pStyle w:val="a3"/>
        <w:spacing w:line="249" w:lineRule="exact"/>
        <w:ind w:left="562"/>
        <w:rPr>
          <w:rFonts w:ascii="PMingLiU" w:eastAsia="PMingLiU"/>
        </w:rPr>
      </w:pPr>
      <w:r>
        <w:rPr>
          <w:color w:val="231F20"/>
          <w:spacing w:val="7"/>
        </w:rPr>
        <w:t>第五条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7"/>
        </w:rPr>
        <w:t>执行本刊编辑</w:t>
      </w:r>
      <w:r>
        <w:rPr>
          <w:rFonts w:ascii="PMingLiU" w:eastAsia="PMingLiU" w:hint="eastAsia"/>
          <w:color w:val="231F20"/>
          <w:spacing w:val="-90"/>
        </w:rPr>
        <w:t>、</w:t>
      </w:r>
      <w:r>
        <w:rPr>
          <w:color w:val="231F20"/>
        </w:rPr>
        <w:t>出版工作实施意见</w:t>
      </w:r>
      <w:r>
        <w:rPr>
          <w:rFonts w:ascii="PMingLiU" w:eastAsia="PMingLiU" w:hint="eastAsia"/>
          <w:color w:val="231F20"/>
        </w:rPr>
        <w:t>。</w:t>
      </w:r>
    </w:p>
    <w:p w14:paraId="78A84A5B" w14:textId="77777777" w:rsidR="0088784A" w:rsidRDefault="00150566">
      <w:pPr>
        <w:pStyle w:val="a3"/>
        <w:spacing w:before="11"/>
        <w:ind w:left="562"/>
        <w:rPr>
          <w:rFonts w:ascii="PMingLiU" w:eastAsia="PMingLiU"/>
        </w:rPr>
      </w:pPr>
      <w:r>
        <w:rPr>
          <w:color w:val="231F20"/>
        </w:rPr>
        <w:t>第六条</w:t>
      </w:r>
      <w:r>
        <w:rPr>
          <w:color w:val="231F20"/>
        </w:rPr>
        <w:t xml:space="preserve"> </w:t>
      </w:r>
      <w:r>
        <w:rPr>
          <w:color w:val="231F20"/>
        </w:rPr>
        <w:t>督促和指导本刊社编辑部</w:t>
      </w:r>
      <w:r>
        <w:rPr>
          <w:rFonts w:hint="eastAsia"/>
          <w:color w:val="231F20"/>
          <w:lang w:val="en-US"/>
        </w:rPr>
        <w:t>与采编中心</w:t>
      </w:r>
      <w:r>
        <w:rPr>
          <w:color w:val="231F20"/>
        </w:rPr>
        <w:t>工作</w:t>
      </w:r>
      <w:r>
        <w:rPr>
          <w:rFonts w:ascii="PMingLiU" w:eastAsia="PMingLiU" w:hint="eastAsia"/>
          <w:color w:val="231F20"/>
        </w:rPr>
        <w:t>。</w:t>
      </w:r>
    </w:p>
    <w:p w14:paraId="6B39773F" w14:textId="77777777" w:rsidR="0088784A" w:rsidRDefault="00150566">
      <w:pPr>
        <w:pStyle w:val="a3"/>
        <w:spacing w:before="11"/>
        <w:ind w:left="562"/>
        <w:rPr>
          <w:rFonts w:ascii="PMingLiU" w:eastAsia="PMingLiU"/>
        </w:rPr>
      </w:pPr>
      <w:r>
        <w:rPr>
          <w:color w:val="231F20"/>
        </w:rPr>
        <w:t>第七条</w:t>
      </w:r>
      <w:r>
        <w:rPr>
          <w:color w:val="231F20"/>
        </w:rPr>
        <w:t xml:space="preserve"> </w:t>
      </w:r>
      <w:r>
        <w:rPr>
          <w:color w:val="231F20"/>
        </w:rPr>
        <w:t>积极参与和支持本刊</w:t>
      </w:r>
      <w:proofErr w:type="gramStart"/>
      <w:r>
        <w:rPr>
          <w:color w:val="231F20"/>
        </w:rPr>
        <w:t>社其他</w:t>
      </w:r>
      <w:proofErr w:type="gramEnd"/>
      <w:r>
        <w:rPr>
          <w:color w:val="231F20"/>
        </w:rPr>
        <w:t>有关工作</w:t>
      </w:r>
      <w:r>
        <w:rPr>
          <w:rFonts w:ascii="PMingLiU" w:eastAsia="PMingLiU" w:hint="eastAsia"/>
          <w:color w:val="231F20"/>
        </w:rPr>
        <w:t>。</w:t>
      </w:r>
    </w:p>
    <w:p w14:paraId="16A0A533" w14:textId="77777777" w:rsidR="0088784A" w:rsidRDefault="0088784A">
      <w:pPr>
        <w:pStyle w:val="a3"/>
        <w:spacing w:before="8"/>
        <w:rPr>
          <w:rFonts w:ascii="PMingLiU"/>
          <w:sz w:val="16"/>
        </w:rPr>
      </w:pPr>
    </w:p>
    <w:p w14:paraId="2BEE4C00" w14:textId="77777777" w:rsidR="0088784A" w:rsidRDefault="00150566">
      <w:pPr>
        <w:pStyle w:val="8"/>
        <w:tabs>
          <w:tab w:val="left" w:pos="959"/>
          <w:tab w:val="left" w:pos="1679"/>
        </w:tabs>
        <w:ind w:right="54"/>
      </w:pPr>
      <w:r>
        <w:rPr>
          <w:color w:val="231F20"/>
        </w:rPr>
        <w:t>第三章</w:t>
      </w:r>
      <w:r>
        <w:rPr>
          <w:color w:val="231F20"/>
        </w:rPr>
        <w:tab/>
      </w:r>
      <w:r>
        <w:rPr>
          <w:color w:val="231F20"/>
        </w:rPr>
        <w:t>编</w:t>
      </w:r>
      <w:r>
        <w:rPr>
          <w:color w:val="231F20"/>
        </w:rPr>
        <w:tab/>
      </w:r>
      <w:r>
        <w:rPr>
          <w:color w:val="231F20"/>
        </w:rPr>
        <w:t>委</w:t>
      </w:r>
    </w:p>
    <w:p w14:paraId="6FE677DC" w14:textId="77777777" w:rsidR="0088784A" w:rsidRDefault="0088784A">
      <w:pPr>
        <w:pStyle w:val="a3"/>
        <w:spacing w:before="11"/>
        <w:rPr>
          <w:sz w:val="19"/>
        </w:rPr>
      </w:pPr>
    </w:p>
    <w:p w14:paraId="77912748" w14:textId="77777777" w:rsidR="0088784A" w:rsidRDefault="00150566">
      <w:pPr>
        <w:pStyle w:val="a3"/>
        <w:spacing w:before="11"/>
        <w:ind w:left="562"/>
        <w:rPr>
          <w:color w:val="231F20"/>
        </w:rPr>
      </w:pPr>
      <w:r>
        <w:rPr>
          <w:color w:val="231F20"/>
        </w:rPr>
        <w:t>第八条</w:t>
      </w:r>
      <w:r>
        <w:rPr>
          <w:color w:val="231F20"/>
        </w:rPr>
        <w:t xml:space="preserve">  </w:t>
      </w:r>
      <w:r>
        <w:rPr>
          <w:rFonts w:hint="eastAsia"/>
          <w:color w:val="231F20"/>
        </w:rPr>
        <w:t>编委要求及权力义务</w:t>
      </w:r>
    </w:p>
    <w:p w14:paraId="169CF8CF" w14:textId="77777777" w:rsidR="0088784A" w:rsidRDefault="00150566">
      <w:pPr>
        <w:pStyle w:val="a3"/>
        <w:spacing w:before="11"/>
        <w:ind w:left="562"/>
        <w:rPr>
          <w:color w:val="231F20"/>
        </w:rPr>
      </w:pPr>
      <w:r>
        <w:rPr>
          <w:rFonts w:hint="eastAsia"/>
          <w:color w:val="231F20"/>
        </w:rPr>
        <w:t>1</w:t>
      </w:r>
      <w:r>
        <w:rPr>
          <w:rFonts w:hint="eastAsia"/>
          <w:color w:val="231F20"/>
        </w:rPr>
        <w:t>、在医药科研单位、大专院校、医疗卫生机构、医药企业等从事药学相关管理、研究或一线工作者（包括但不限于药物政策、药物研究、药事管理、临床药学、药学服务、药品流通等）。</w:t>
      </w:r>
    </w:p>
    <w:p w14:paraId="1F01D639" w14:textId="77777777" w:rsidR="0088784A" w:rsidRDefault="00150566">
      <w:pPr>
        <w:pStyle w:val="a3"/>
        <w:spacing w:before="11"/>
        <w:ind w:left="562"/>
        <w:rPr>
          <w:color w:val="231F20"/>
        </w:rPr>
      </w:pPr>
      <w:r>
        <w:rPr>
          <w:rFonts w:hint="eastAsia"/>
          <w:color w:val="231F20"/>
        </w:rPr>
        <w:t>2</w:t>
      </w:r>
      <w:r>
        <w:rPr>
          <w:rFonts w:hint="eastAsia"/>
          <w:color w:val="231F20"/>
        </w:rPr>
        <w:t>、熟悉药学专业并热爱新媒体传播渠道，乐意为药学事业</w:t>
      </w:r>
      <w:proofErr w:type="gramStart"/>
      <w:r>
        <w:rPr>
          <w:rFonts w:hint="eastAsia"/>
          <w:color w:val="231F20"/>
        </w:rPr>
        <w:t>传播正</w:t>
      </w:r>
      <w:proofErr w:type="gramEnd"/>
      <w:r>
        <w:rPr>
          <w:rFonts w:hint="eastAsia"/>
          <w:color w:val="231F20"/>
        </w:rPr>
        <w:t>能量，能够为《中国药房》网络版出谋划策、把握导向、组稿约稿、质量评议</w:t>
      </w:r>
      <w:r>
        <w:rPr>
          <w:rFonts w:hint="eastAsia"/>
          <w:color w:val="231F20"/>
        </w:rPr>
        <w:t>同时审定文章并推广转发，必要时能够受邀与</w:t>
      </w:r>
      <w:r>
        <w:rPr>
          <w:rFonts w:hint="eastAsia"/>
          <w:color w:val="231F20"/>
          <w:lang w:val="en-US"/>
        </w:rPr>
        <w:t>采编中心</w:t>
      </w:r>
      <w:r>
        <w:rPr>
          <w:rFonts w:hint="eastAsia"/>
          <w:color w:val="231F20"/>
        </w:rPr>
        <w:t>记者共同参与重要专家访谈、采访。</w:t>
      </w:r>
    </w:p>
    <w:p w14:paraId="248404F4" w14:textId="77777777" w:rsidR="0088784A" w:rsidRDefault="00150566">
      <w:pPr>
        <w:pStyle w:val="a3"/>
        <w:spacing w:before="11"/>
        <w:ind w:left="562"/>
        <w:rPr>
          <w:color w:val="231F20"/>
        </w:rPr>
      </w:pPr>
      <w:r>
        <w:rPr>
          <w:rFonts w:hint="eastAsia"/>
          <w:color w:val="231F20"/>
        </w:rPr>
        <w:t>3</w:t>
      </w:r>
      <w:r>
        <w:rPr>
          <w:rFonts w:hint="eastAsia"/>
          <w:color w:val="231F20"/>
        </w:rPr>
        <w:t>、编委人员为兼职，凡当选者均列为《中国药房》网络版编委会名单，发给编委聘书，赋予编委相关权利。同时，编委具有在网络版优先发表文章以及优先推荐“万方”首页专题区展示权力。</w:t>
      </w:r>
    </w:p>
    <w:p w14:paraId="77BEB99D" w14:textId="77777777" w:rsidR="0088784A" w:rsidRDefault="00150566">
      <w:pPr>
        <w:pStyle w:val="a3"/>
        <w:spacing w:before="11"/>
        <w:ind w:left="562"/>
        <w:rPr>
          <w:color w:val="231F20"/>
        </w:rPr>
      </w:pPr>
      <w:r>
        <w:rPr>
          <w:rFonts w:hint="eastAsia"/>
          <w:color w:val="231F20"/>
        </w:rPr>
        <w:t>4</w:t>
      </w:r>
      <w:r>
        <w:rPr>
          <w:rFonts w:hint="eastAsia"/>
          <w:color w:val="231F20"/>
        </w:rPr>
        <w:t>、编委会拟由</w:t>
      </w:r>
      <w:r>
        <w:rPr>
          <w:rFonts w:hint="eastAsia"/>
          <w:color w:val="231F20"/>
        </w:rPr>
        <w:t>50</w:t>
      </w:r>
      <w:r>
        <w:rPr>
          <w:rFonts w:hint="eastAsia"/>
          <w:color w:val="231F20"/>
        </w:rPr>
        <w:t>～</w:t>
      </w:r>
      <w:r>
        <w:rPr>
          <w:rFonts w:hint="eastAsia"/>
          <w:color w:val="231F20"/>
          <w:lang w:val="en-US"/>
        </w:rPr>
        <w:t>80</w:t>
      </w:r>
      <w:r>
        <w:rPr>
          <w:rFonts w:hint="eastAsia"/>
          <w:color w:val="231F20"/>
        </w:rPr>
        <w:t>名组成，每</w:t>
      </w:r>
      <w:r>
        <w:rPr>
          <w:rFonts w:hint="eastAsia"/>
          <w:color w:val="231F20"/>
          <w:lang w:val="en-US"/>
        </w:rPr>
        <w:t>三</w:t>
      </w:r>
      <w:r>
        <w:rPr>
          <w:rFonts w:hint="eastAsia"/>
          <w:color w:val="231F20"/>
        </w:rPr>
        <w:t>年动态调整。</w:t>
      </w:r>
    </w:p>
    <w:p w14:paraId="6AE3A5FB" w14:textId="77777777" w:rsidR="0088784A" w:rsidRDefault="00150566">
      <w:pPr>
        <w:pStyle w:val="a3"/>
        <w:spacing w:before="11"/>
        <w:ind w:left="562"/>
        <w:rPr>
          <w:color w:val="231F20"/>
        </w:rPr>
      </w:pPr>
      <w:r>
        <w:rPr>
          <w:rFonts w:hint="eastAsia"/>
          <w:color w:val="231F20"/>
          <w:lang w:val="en-US"/>
        </w:rPr>
        <w:t>第九条</w:t>
      </w:r>
      <w:r>
        <w:rPr>
          <w:rFonts w:hint="eastAsia"/>
          <w:color w:val="231F20"/>
          <w:lang w:val="en-US"/>
        </w:rPr>
        <w:t xml:space="preserve"> </w:t>
      </w:r>
      <w:r>
        <w:rPr>
          <w:rFonts w:hint="eastAsia"/>
          <w:color w:val="231F20"/>
        </w:rPr>
        <w:t>评选办法</w:t>
      </w:r>
    </w:p>
    <w:p w14:paraId="3A638864" w14:textId="77777777" w:rsidR="0088784A" w:rsidRDefault="00150566">
      <w:pPr>
        <w:pStyle w:val="a3"/>
        <w:spacing w:before="11"/>
        <w:ind w:left="562"/>
        <w:rPr>
          <w:color w:val="231F20"/>
        </w:rPr>
      </w:pPr>
      <w:r>
        <w:rPr>
          <w:rFonts w:hint="eastAsia"/>
          <w:color w:val="231F20"/>
        </w:rPr>
        <w:lastRenderedPageBreak/>
        <w:t>通过本人自荐与相互推荐提出人选，经编委会筹备组审核筛选，确定初步人选后发给邀请函以及编委登记表，经所在单位</w:t>
      </w:r>
      <w:r>
        <w:rPr>
          <w:rFonts w:hint="eastAsia"/>
          <w:color w:val="231F20"/>
        </w:rPr>
        <w:t>/</w:t>
      </w:r>
      <w:r>
        <w:rPr>
          <w:rFonts w:hint="eastAsia"/>
          <w:color w:val="231F20"/>
        </w:rPr>
        <w:t>部门同意后确定。《中国药房》杂志编委、审稿专家优先。</w:t>
      </w:r>
    </w:p>
    <w:p w14:paraId="1774480F" w14:textId="77777777" w:rsidR="0088784A" w:rsidRDefault="0088784A">
      <w:pPr>
        <w:pStyle w:val="a3"/>
        <w:ind w:left="618"/>
        <w:rPr>
          <w:rFonts w:ascii="PMingLiU" w:eastAsia="PMingLiU"/>
        </w:rPr>
      </w:pPr>
    </w:p>
    <w:p w14:paraId="62FD3838" w14:textId="77777777" w:rsidR="0088784A" w:rsidRDefault="0088784A">
      <w:pPr>
        <w:pStyle w:val="a3"/>
        <w:spacing w:before="6"/>
        <w:rPr>
          <w:rFonts w:ascii="PMingLiU"/>
          <w:sz w:val="16"/>
        </w:rPr>
      </w:pPr>
    </w:p>
    <w:p w14:paraId="2762B534" w14:textId="77777777" w:rsidR="0088784A" w:rsidRDefault="00150566">
      <w:pPr>
        <w:pStyle w:val="8"/>
        <w:tabs>
          <w:tab w:val="left" w:pos="1016"/>
        </w:tabs>
        <w:spacing w:before="1"/>
        <w:ind w:left="56"/>
      </w:pPr>
      <w:r>
        <w:rPr>
          <w:color w:val="231F20"/>
        </w:rPr>
        <w:t>第四章</w:t>
      </w:r>
      <w:r>
        <w:rPr>
          <w:color w:val="231F20"/>
        </w:rPr>
        <w:tab/>
      </w:r>
      <w:r>
        <w:rPr>
          <w:color w:val="231F20"/>
        </w:rPr>
        <w:t>组织机构</w:t>
      </w:r>
    </w:p>
    <w:p w14:paraId="10CE6535" w14:textId="77777777" w:rsidR="0088784A" w:rsidRDefault="0088784A">
      <w:pPr>
        <w:pStyle w:val="a3"/>
        <w:spacing w:before="9"/>
        <w:rPr>
          <w:sz w:val="19"/>
        </w:rPr>
      </w:pPr>
    </w:p>
    <w:p w14:paraId="590D6982" w14:textId="77777777" w:rsidR="0088784A" w:rsidRDefault="00150566">
      <w:pPr>
        <w:pStyle w:val="a3"/>
        <w:spacing w:line="249" w:lineRule="auto"/>
        <w:ind w:left="258" w:right="200" w:firstLine="360"/>
        <w:rPr>
          <w:rFonts w:ascii="PMingLiU" w:eastAsia="PMingLiU"/>
        </w:rPr>
      </w:pPr>
      <w:r>
        <w:rPr>
          <w:color w:val="231F20"/>
        </w:rPr>
        <w:t>第十条</w:t>
      </w:r>
      <w:r>
        <w:rPr>
          <w:color w:val="231F20"/>
        </w:rPr>
        <w:t xml:space="preserve"> </w:t>
      </w:r>
      <w:r>
        <w:rPr>
          <w:color w:val="231F20"/>
        </w:rPr>
        <w:t>编委会的权力机构是编委会全体会议</w:t>
      </w:r>
      <w:r>
        <w:rPr>
          <w:rFonts w:ascii="PMingLiU" w:eastAsia="PMingLiU" w:hint="eastAsia"/>
          <w:color w:val="231F20"/>
          <w:spacing w:val="-90"/>
        </w:rPr>
        <w:t>，</w:t>
      </w:r>
      <w:r>
        <w:rPr>
          <w:color w:val="231F20"/>
        </w:rPr>
        <w:t>编委会全体会议原则上每</w:t>
      </w:r>
      <w:r>
        <w:rPr>
          <w:color w:val="231F20"/>
          <w:spacing w:val="7"/>
        </w:rPr>
        <w:t>年举行</w:t>
      </w:r>
      <w:r>
        <w:rPr>
          <w:color w:val="231F20"/>
        </w:rPr>
        <w:t>1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4"/>
        </w:rPr>
        <w:t>次</w:t>
      </w:r>
      <w:r>
        <w:rPr>
          <w:rFonts w:ascii="PMingLiU" w:eastAsia="PMingLiU" w:hint="eastAsia"/>
          <w:color w:val="231F20"/>
        </w:rPr>
        <w:t>。</w:t>
      </w:r>
    </w:p>
    <w:p w14:paraId="72959676" w14:textId="77777777" w:rsidR="0088784A" w:rsidRDefault="00150566">
      <w:pPr>
        <w:pStyle w:val="a3"/>
        <w:ind w:left="618"/>
      </w:pPr>
      <w:r>
        <w:rPr>
          <w:color w:val="231F20"/>
        </w:rPr>
        <w:t>第十</w:t>
      </w:r>
      <w:r>
        <w:rPr>
          <w:rFonts w:hint="eastAsia"/>
          <w:color w:val="231F20"/>
          <w:lang w:val="en-US"/>
        </w:rPr>
        <w:t>一</w:t>
      </w:r>
      <w:r>
        <w:rPr>
          <w:color w:val="231F20"/>
        </w:rPr>
        <w:t>条</w:t>
      </w:r>
      <w:r>
        <w:rPr>
          <w:color w:val="231F20"/>
        </w:rPr>
        <w:t xml:space="preserve"> </w:t>
      </w:r>
      <w:r>
        <w:rPr>
          <w:color w:val="231F20"/>
        </w:rPr>
        <w:t>编委会全体会议的职权</w:t>
      </w:r>
    </w:p>
    <w:p w14:paraId="6FBA1ED5" w14:textId="77777777" w:rsidR="0088784A" w:rsidRDefault="00150566">
      <w:pPr>
        <w:pStyle w:val="a3"/>
        <w:spacing w:before="31"/>
        <w:ind w:left="618"/>
        <w:rPr>
          <w:rFonts w:ascii="PMingLiU" w:eastAsia="PMingLiU"/>
        </w:rPr>
      </w:pPr>
      <w:r>
        <w:rPr>
          <w:color w:val="231F20"/>
        </w:rPr>
        <w:t>1</w:t>
      </w:r>
      <w:r>
        <w:rPr>
          <w:rFonts w:ascii="PMingLiU" w:eastAsia="PMingLiU" w:hint="eastAsia"/>
          <w:color w:val="231F20"/>
          <w:spacing w:val="-90"/>
        </w:rPr>
        <w:t>、</w:t>
      </w:r>
      <w:r>
        <w:rPr>
          <w:color w:val="231F20"/>
        </w:rPr>
        <w:t>听取和审议本年度工作总结和下年度工作计划</w:t>
      </w:r>
      <w:r>
        <w:rPr>
          <w:rFonts w:ascii="PMingLiU" w:eastAsia="PMingLiU" w:hint="eastAsia"/>
          <w:color w:val="231F20"/>
        </w:rPr>
        <w:t>。</w:t>
      </w:r>
    </w:p>
    <w:p w14:paraId="523DB5DB" w14:textId="77777777" w:rsidR="0088784A" w:rsidRDefault="00150566">
      <w:pPr>
        <w:pStyle w:val="a3"/>
        <w:spacing w:before="11"/>
        <w:ind w:left="618"/>
        <w:rPr>
          <w:rFonts w:ascii="PMingLiU" w:eastAsia="PMingLiU"/>
        </w:rPr>
      </w:pPr>
      <w:r>
        <w:rPr>
          <w:color w:val="231F20"/>
        </w:rPr>
        <w:t>2</w:t>
      </w:r>
      <w:r>
        <w:rPr>
          <w:rFonts w:ascii="PMingLiU" w:eastAsia="PMingLiU" w:hint="eastAsia"/>
          <w:color w:val="231F20"/>
          <w:spacing w:val="-90"/>
        </w:rPr>
        <w:t>、</w:t>
      </w:r>
      <w:r>
        <w:rPr>
          <w:color w:val="231F20"/>
        </w:rPr>
        <w:t>讨论和通过本刊有关的重大事项</w:t>
      </w:r>
      <w:r>
        <w:rPr>
          <w:rFonts w:ascii="PMingLiU" w:eastAsia="PMingLiU" w:hint="eastAsia"/>
          <w:color w:val="231F20"/>
        </w:rPr>
        <w:t>。</w:t>
      </w:r>
    </w:p>
    <w:p w14:paraId="247682BA" w14:textId="77777777" w:rsidR="0088784A" w:rsidRDefault="00150566">
      <w:pPr>
        <w:pStyle w:val="a3"/>
        <w:spacing w:before="10"/>
        <w:ind w:left="618"/>
        <w:rPr>
          <w:rFonts w:ascii="PMingLiU" w:eastAsia="PMingLiU"/>
        </w:rPr>
      </w:pPr>
      <w:r>
        <w:rPr>
          <w:color w:val="231F20"/>
        </w:rPr>
        <w:t>3</w:t>
      </w:r>
      <w:r>
        <w:rPr>
          <w:rFonts w:ascii="PMingLiU" w:eastAsia="PMingLiU" w:hint="eastAsia"/>
          <w:color w:val="231F20"/>
          <w:spacing w:val="-90"/>
        </w:rPr>
        <w:t>、</w:t>
      </w:r>
      <w:r>
        <w:rPr>
          <w:color w:val="231F20"/>
        </w:rPr>
        <w:t>其他事项</w:t>
      </w:r>
      <w:r>
        <w:rPr>
          <w:rFonts w:ascii="PMingLiU" w:eastAsia="PMingLiU" w:hint="eastAsia"/>
          <w:color w:val="231F20"/>
        </w:rPr>
        <w:t>。</w:t>
      </w:r>
    </w:p>
    <w:p w14:paraId="7181F02F" w14:textId="77777777" w:rsidR="0088784A" w:rsidRDefault="00150566">
      <w:pPr>
        <w:pStyle w:val="a3"/>
        <w:spacing w:before="10" w:line="249" w:lineRule="auto"/>
        <w:ind w:left="258" w:right="200" w:firstLine="360"/>
        <w:jc w:val="both"/>
        <w:rPr>
          <w:rFonts w:ascii="PMingLiU" w:eastAsia="PMingLiU"/>
        </w:rPr>
      </w:pPr>
      <w:r>
        <w:rPr>
          <w:color w:val="231F20"/>
          <w:spacing w:val="6"/>
        </w:rPr>
        <w:t>第十</w:t>
      </w:r>
      <w:r>
        <w:rPr>
          <w:rFonts w:hint="eastAsia"/>
          <w:color w:val="231F20"/>
          <w:spacing w:val="6"/>
          <w:lang w:val="en-US"/>
        </w:rPr>
        <w:t>二</w:t>
      </w:r>
      <w:r>
        <w:rPr>
          <w:color w:val="231F20"/>
          <w:spacing w:val="6"/>
        </w:rPr>
        <w:t>条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6"/>
        </w:rPr>
        <w:t>编委任期</w:t>
      </w:r>
      <w:r>
        <w:rPr>
          <w:rFonts w:hint="eastAsia"/>
          <w:color w:val="231F20"/>
          <w:lang w:val="en-US"/>
        </w:rPr>
        <w:t>3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9"/>
        </w:rPr>
        <w:t>年</w:t>
      </w:r>
      <w:r>
        <w:rPr>
          <w:rFonts w:ascii="PMingLiU" w:eastAsia="PMingLiU" w:hint="eastAsia"/>
          <w:color w:val="231F20"/>
          <w:spacing w:val="-85"/>
        </w:rPr>
        <w:t>，</w:t>
      </w:r>
      <w:r>
        <w:rPr>
          <w:color w:val="231F20"/>
          <w:spacing w:val="5"/>
        </w:rPr>
        <w:t>届满时可续聘续任</w:t>
      </w:r>
      <w:r>
        <w:rPr>
          <w:rFonts w:ascii="PMingLiU" w:eastAsia="PMingLiU" w:hint="eastAsia"/>
          <w:color w:val="231F20"/>
          <w:spacing w:val="-85"/>
        </w:rPr>
        <w:t>，</w:t>
      </w:r>
      <w:r>
        <w:rPr>
          <w:color w:val="231F20"/>
          <w:spacing w:val="3"/>
        </w:rPr>
        <w:t>但续聘人员不能超过上届编</w:t>
      </w:r>
      <w:r>
        <w:rPr>
          <w:color w:val="231F20"/>
          <w:spacing w:val="5"/>
        </w:rPr>
        <w:t>委人数的</w:t>
      </w:r>
      <w:r>
        <w:rPr>
          <w:color w:val="231F20"/>
        </w:rPr>
        <w:t>2</w:t>
      </w:r>
      <w:r>
        <w:rPr>
          <w:rFonts w:ascii="Times New Roman" w:eastAsia="Times New Roman"/>
          <w:color w:val="231F20"/>
        </w:rPr>
        <w:t>/</w:t>
      </w:r>
      <w:r>
        <w:rPr>
          <w:color w:val="231F20"/>
        </w:rPr>
        <w:t>3</w:t>
      </w:r>
      <w:r>
        <w:rPr>
          <w:rFonts w:ascii="PMingLiU" w:eastAsia="PMingLiU" w:hint="eastAsia"/>
          <w:color w:val="231F20"/>
        </w:rPr>
        <w:t>。</w:t>
      </w:r>
    </w:p>
    <w:p w14:paraId="20E83A61" w14:textId="77777777" w:rsidR="0088784A" w:rsidRDefault="00150566">
      <w:pPr>
        <w:pStyle w:val="a3"/>
        <w:spacing w:before="1" w:line="249" w:lineRule="auto"/>
        <w:ind w:left="258" w:right="200" w:firstLine="360"/>
        <w:jc w:val="both"/>
        <w:rPr>
          <w:rFonts w:ascii="PMingLiU" w:eastAsia="PMingLiU"/>
        </w:rPr>
      </w:pPr>
      <w:r>
        <w:rPr>
          <w:color w:val="231F20"/>
          <w:spacing w:val="2"/>
        </w:rPr>
        <w:t>第十</w:t>
      </w:r>
      <w:r>
        <w:rPr>
          <w:rFonts w:hint="eastAsia"/>
          <w:color w:val="231F20"/>
          <w:spacing w:val="2"/>
          <w:lang w:val="en-US"/>
        </w:rPr>
        <w:t>三</w:t>
      </w:r>
      <w:r>
        <w:rPr>
          <w:color w:val="231F20"/>
          <w:spacing w:val="2"/>
        </w:rPr>
        <w:t>条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2"/>
        </w:rPr>
        <w:t>编委会设</w:t>
      </w:r>
      <w:r>
        <w:rPr>
          <w:rFonts w:hint="eastAsia"/>
          <w:color w:val="231F20"/>
          <w:spacing w:val="4"/>
          <w:lang w:val="en-US"/>
        </w:rPr>
        <w:t>主编</w:t>
      </w:r>
      <w:r>
        <w:rPr>
          <w:color w:val="231F20"/>
        </w:rPr>
        <w:t>1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2"/>
        </w:rPr>
        <w:t>名</w:t>
      </w:r>
      <w:r>
        <w:rPr>
          <w:rFonts w:ascii="PMingLiU" w:eastAsia="PMingLiU" w:hint="eastAsia"/>
          <w:color w:val="231F20"/>
          <w:spacing w:val="-88"/>
        </w:rPr>
        <w:t>，</w:t>
      </w:r>
      <w:r>
        <w:rPr>
          <w:rFonts w:hint="eastAsia"/>
          <w:color w:val="231F20"/>
          <w:spacing w:val="6"/>
          <w:lang w:val="en-US"/>
        </w:rPr>
        <w:t>副主编</w:t>
      </w:r>
      <w:r>
        <w:rPr>
          <w:rFonts w:hint="eastAsia"/>
          <w:color w:val="231F20"/>
          <w:spacing w:val="10"/>
          <w:lang w:val="en-US"/>
        </w:rPr>
        <w:t>8</w:t>
      </w:r>
      <w:r>
        <w:rPr>
          <w:color w:val="231F20"/>
          <w:spacing w:val="3"/>
        </w:rPr>
        <w:t>名</w:t>
      </w:r>
      <w:r>
        <w:rPr>
          <w:rFonts w:ascii="PMingLiU" w:eastAsia="PMingLiU" w:hint="eastAsia"/>
          <w:color w:val="231F20"/>
          <w:spacing w:val="-87"/>
        </w:rPr>
        <w:t>，</w:t>
      </w:r>
      <w:r>
        <w:rPr>
          <w:color w:val="231F20"/>
          <w:spacing w:val="2"/>
        </w:rPr>
        <w:t>编委若干名</w:t>
      </w:r>
      <w:r>
        <w:rPr>
          <w:rFonts w:ascii="PMingLiU" w:eastAsia="PMingLiU" w:hint="eastAsia"/>
          <w:color w:val="231F20"/>
          <w:spacing w:val="2"/>
        </w:rPr>
        <w:t>。</w:t>
      </w:r>
    </w:p>
    <w:p w14:paraId="08146618" w14:textId="77777777" w:rsidR="0088784A" w:rsidRDefault="00150566">
      <w:pPr>
        <w:pStyle w:val="a3"/>
        <w:spacing w:line="247" w:lineRule="auto"/>
        <w:ind w:left="202" w:right="256" w:firstLine="360"/>
        <w:jc w:val="both"/>
        <w:rPr>
          <w:rFonts w:ascii="PMingLiU" w:eastAsia="PMingLiU"/>
        </w:rPr>
      </w:pPr>
      <w:r>
        <w:rPr>
          <w:color w:val="231F20"/>
        </w:rPr>
        <w:t>第十</w:t>
      </w:r>
      <w:r>
        <w:rPr>
          <w:rFonts w:hint="eastAsia"/>
          <w:color w:val="231F20"/>
          <w:lang w:val="en-US"/>
        </w:rPr>
        <w:t>四</w:t>
      </w:r>
      <w:r>
        <w:rPr>
          <w:color w:val="231F20"/>
        </w:rPr>
        <w:t>条</w:t>
      </w:r>
      <w:r>
        <w:rPr>
          <w:color w:val="231F20"/>
        </w:rPr>
        <w:t xml:space="preserve"> </w:t>
      </w:r>
      <w:r>
        <w:rPr>
          <w:color w:val="231F20"/>
        </w:rPr>
        <w:t>编委会实行</w:t>
      </w:r>
      <w:r>
        <w:rPr>
          <w:rFonts w:hint="eastAsia"/>
          <w:color w:val="231F20"/>
          <w:lang w:val="en-US"/>
        </w:rPr>
        <w:t>主编</w:t>
      </w:r>
      <w:r>
        <w:rPr>
          <w:color w:val="231F20"/>
        </w:rPr>
        <w:t>负责制</w:t>
      </w:r>
      <w:r>
        <w:rPr>
          <w:rFonts w:ascii="PMingLiU" w:eastAsia="PMingLiU" w:hint="eastAsia"/>
          <w:color w:val="231F20"/>
          <w:spacing w:val="-90"/>
        </w:rPr>
        <w:t>，</w:t>
      </w:r>
      <w:r>
        <w:rPr>
          <w:color w:val="231F20"/>
        </w:rPr>
        <w:t>主编</w:t>
      </w:r>
      <w:r>
        <w:rPr>
          <w:rFonts w:ascii="PMingLiU" w:eastAsia="PMingLiU" w:hint="eastAsia"/>
          <w:color w:val="231F20"/>
          <w:spacing w:val="-90"/>
        </w:rPr>
        <w:t>、</w:t>
      </w:r>
      <w:r>
        <w:rPr>
          <w:color w:val="231F20"/>
        </w:rPr>
        <w:t>副主编做好有关</w:t>
      </w:r>
      <w:r>
        <w:rPr>
          <w:rFonts w:hint="eastAsia"/>
          <w:color w:val="231F20"/>
          <w:lang w:val="en-US"/>
        </w:rPr>
        <w:t>出</w:t>
      </w:r>
      <w:r>
        <w:rPr>
          <w:color w:val="231F20"/>
        </w:rPr>
        <w:t>刊工作</w:t>
      </w:r>
      <w:r>
        <w:rPr>
          <w:rFonts w:ascii="PMingLiU" w:eastAsia="PMingLiU" w:hint="eastAsia"/>
          <w:color w:val="231F20"/>
          <w:spacing w:val="-90"/>
        </w:rPr>
        <w:t>，</w:t>
      </w:r>
      <w:r>
        <w:rPr>
          <w:color w:val="231F20"/>
        </w:rPr>
        <w:t>本刊社</w:t>
      </w:r>
      <w:r>
        <w:rPr>
          <w:rFonts w:hint="eastAsia"/>
          <w:color w:val="231F20"/>
          <w:lang w:val="en-US"/>
        </w:rPr>
        <w:t>采编中心</w:t>
      </w:r>
      <w:r>
        <w:rPr>
          <w:color w:val="231F20"/>
        </w:rPr>
        <w:t>部是编委会工作的具体实施部门</w:t>
      </w:r>
      <w:r>
        <w:rPr>
          <w:rFonts w:ascii="PMingLiU" w:eastAsia="PMingLiU" w:hint="eastAsia"/>
          <w:color w:val="231F20"/>
        </w:rPr>
        <w:t>。</w:t>
      </w:r>
    </w:p>
    <w:p w14:paraId="119D6BCE" w14:textId="77777777" w:rsidR="0088784A" w:rsidRDefault="0088784A">
      <w:pPr>
        <w:pStyle w:val="a3"/>
        <w:spacing w:before="11"/>
        <w:rPr>
          <w:rFonts w:ascii="PMingLiU"/>
          <w:sz w:val="15"/>
        </w:rPr>
      </w:pPr>
    </w:p>
    <w:p w14:paraId="5F3D8371" w14:textId="77777777" w:rsidR="0088784A" w:rsidRDefault="00150566">
      <w:pPr>
        <w:pStyle w:val="8"/>
        <w:tabs>
          <w:tab w:val="left" w:pos="959"/>
          <w:tab w:val="left" w:pos="1679"/>
        </w:tabs>
        <w:ind w:right="54"/>
      </w:pPr>
      <w:r>
        <w:rPr>
          <w:color w:val="231F20"/>
        </w:rPr>
        <w:t>第五章</w:t>
      </w:r>
      <w:r>
        <w:rPr>
          <w:color w:val="231F20"/>
        </w:rPr>
        <w:tab/>
      </w:r>
      <w:r>
        <w:rPr>
          <w:color w:val="231F20"/>
        </w:rPr>
        <w:t>附</w:t>
      </w:r>
      <w:r>
        <w:rPr>
          <w:color w:val="231F20"/>
        </w:rPr>
        <w:tab/>
      </w:r>
      <w:r>
        <w:rPr>
          <w:color w:val="231F20"/>
        </w:rPr>
        <w:t>则</w:t>
      </w:r>
    </w:p>
    <w:p w14:paraId="55E87C70" w14:textId="77777777" w:rsidR="0088784A" w:rsidRDefault="0088784A">
      <w:pPr>
        <w:pStyle w:val="a3"/>
        <w:spacing w:before="7"/>
        <w:rPr>
          <w:sz w:val="19"/>
        </w:rPr>
      </w:pPr>
    </w:p>
    <w:p w14:paraId="52FAAE3A" w14:textId="77777777" w:rsidR="0088784A" w:rsidRDefault="00150566">
      <w:pPr>
        <w:pStyle w:val="a3"/>
        <w:ind w:left="562"/>
      </w:pPr>
      <w:r>
        <w:rPr>
          <w:color w:val="231F20"/>
        </w:rPr>
        <w:t>第十</w:t>
      </w:r>
      <w:r>
        <w:rPr>
          <w:rFonts w:hint="eastAsia"/>
          <w:color w:val="231F20"/>
          <w:lang w:val="en-US"/>
        </w:rPr>
        <w:t>五</w:t>
      </w:r>
      <w:r>
        <w:rPr>
          <w:color w:val="231F20"/>
        </w:rPr>
        <w:t>条</w:t>
      </w:r>
      <w:r>
        <w:rPr>
          <w:color w:val="231F20"/>
        </w:rPr>
        <w:t xml:space="preserve"> </w:t>
      </w:r>
      <w:r>
        <w:rPr>
          <w:color w:val="231F20"/>
        </w:rPr>
        <w:t>编委会构成比例</w:t>
      </w:r>
    </w:p>
    <w:p w14:paraId="75FAC33B" w14:textId="77777777" w:rsidR="0088784A" w:rsidRDefault="00150566">
      <w:pPr>
        <w:pStyle w:val="a3"/>
        <w:spacing w:before="29" w:line="247" w:lineRule="auto"/>
        <w:ind w:left="202" w:right="256" w:firstLine="360"/>
        <w:rPr>
          <w:rFonts w:ascii="PMingLiU" w:eastAsia="PMingLiU"/>
        </w:rPr>
      </w:pPr>
      <w:r>
        <w:rPr>
          <w:color w:val="231F20"/>
          <w:spacing w:val="-1"/>
        </w:rPr>
        <w:t>1</w:t>
      </w:r>
      <w:r>
        <w:rPr>
          <w:rFonts w:ascii="PMingLiU" w:eastAsia="PMingLiU" w:hint="eastAsia"/>
          <w:color w:val="231F20"/>
          <w:spacing w:val="-88"/>
        </w:rPr>
        <w:t>、</w:t>
      </w:r>
      <w:r>
        <w:rPr>
          <w:color w:val="231F20"/>
          <w:spacing w:val="2"/>
        </w:rPr>
        <w:t>按系统及专业分为</w:t>
      </w:r>
      <w:r>
        <w:rPr>
          <w:rFonts w:ascii="PMingLiU" w:eastAsia="PMingLiU" w:hint="eastAsia"/>
          <w:color w:val="231F20"/>
          <w:spacing w:val="-88"/>
        </w:rPr>
        <w:t>：</w:t>
      </w:r>
      <w:r>
        <w:rPr>
          <w:color w:val="231F20"/>
          <w:spacing w:val="6"/>
        </w:rPr>
        <w:t>医院药剂科</w:t>
      </w:r>
      <w:r>
        <w:rPr>
          <w:color w:val="231F20"/>
        </w:rPr>
        <w:t>70</w:t>
      </w:r>
      <w:r>
        <w:rPr>
          <w:color w:val="231F20"/>
          <w:spacing w:val="2"/>
        </w:rPr>
        <w:t>％</w:t>
      </w:r>
      <w:r>
        <w:rPr>
          <w:rFonts w:ascii="PMingLiU" w:eastAsia="PMingLiU" w:hint="eastAsia"/>
          <w:color w:val="231F20"/>
          <w:spacing w:val="-88"/>
        </w:rPr>
        <w:t>，</w:t>
      </w:r>
      <w:r>
        <w:rPr>
          <w:color w:val="231F20"/>
          <w:spacing w:val="2"/>
        </w:rPr>
        <w:t>医药</w:t>
      </w:r>
      <w:r>
        <w:rPr>
          <w:rFonts w:ascii="PMingLiU" w:eastAsia="PMingLiU" w:hint="eastAsia"/>
          <w:color w:val="231F20"/>
          <w:spacing w:val="-88"/>
        </w:rPr>
        <w:t>、</w:t>
      </w:r>
      <w:r>
        <w:rPr>
          <w:color w:val="231F20"/>
          <w:spacing w:val="5"/>
        </w:rPr>
        <w:t>卫生管理部门</w:t>
      </w:r>
      <w:r>
        <w:rPr>
          <w:color w:val="231F20"/>
        </w:rPr>
        <w:t>10</w:t>
      </w:r>
      <w:r>
        <w:rPr>
          <w:color w:val="231F20"/>
          <w:spacing w:val="2"/>
        </w:rPr>
        <w:t>％</w:t>
      </w:r>
      <w:r>
        <w:rPr>
          <w:rFonts w:ascii="PMingLiU" w:eastAsia="PMingLiU" w:hint="eastAsia"/>
          <w:color w:val="231F20"/>
          <w:spacing w:val="-88"/>
        </w:rPr>
        <w:t>，</w:t>
      </w:r>
      <w:r>
        <w:rPr>
          <w:color w:val="231F20"/>
          <w:spacing w:val="1"/>
        </w:rPr>
        <w:t>医药工商</w:t>
      </w:r>
      <w:r>
        <w:rPr>
          <w:color w:val="231F20"/>
          <w:spacing w:val="11"/>
        </w:rPr>
        <w:t>企业</w:t>
      </w:r>
      <w:r>
        <w:rPr>
          <w:color w:val="231F20"/>
        </w:rPr>
        <w:t>10</w:t>
      </w:r>
      <w:r>
        <w:rPr>
          <w:color w:val="231F20"/>
        </w:rPr>
        <w:t>％</w:t>
      </w:r>
      <w:r>
        <w:rPr>
          <w:rFonts w:ascii="PMingLiU" w:eastAsia="PMingLiU" w:hint="eastAsia"/>
          <w:color w:val="231F20"/>
          <w:spacing w:val="-90"/>
        </w:rPr>
        <w:t>，</w:t>
      </w:r>
      <w:r>
        <w:rPr>
          <w:color w:val="231F20"/>
          <w:spacing w:val="-1"/>
        </w:rPr>
        <w:t>大专院校</w:t>
      </w:r>
      <w:r>
        <w:rPr>
          <w:rFonts w:ascii="PMingLiU" w:eastAsia="PMingLiU" w:hint="eastAsia"/>
          <w:color w:val="231F20"/>
          <w:spacing w:val="-90"/>
        </w:rPr>
        <w:t>、</w:t>
      </w:r>
      <w:r>
        <w:rPr>
          <w:color w:val="231F20"/>
          <w:spacing w:val="3"/>
        </w:rPr>
        <w:t>研究院所及其他</w:t>
      </w:r>
      <w:r>
        <w:rPr>
          <w:color w:val="231F20"/>
        </w:rPr>
        <w:t>10</w:t>
      </w:r>
      <w:r>
        <w:rPr>
          <w:color w:val="231F20"/>
        </w:rPr>
        <w:t>％</w:t>
      </w:r>
      <w:r>
        <w:rPr>
          <w:rFonts w:ascii="PMingLiU" w:eastAsia="PMingLiU" w:hint="eastAsia"/>
          <w:color w:val="231F20"/>
        </w:rPr>
        <w:t>。</w:t>
      </w:r>
    </w:p>
    <w:p w14:paraId="3020984F" w14:textId="77777777" w:rsidR="0088784A" w:rsidRDefault="00150566">
      <w:pPr>
        <w:pStyle w:val="a3"/>
        <w:spacing w:before="8"/>
        <w:ind w:left="202" w:firstLineChars="200" w:firstLine="358"/>
        <w:rPr>
          <w:rFonts w:ascii="PMingLiU" w:eastAsia="PMingLiU"/>
        </w:rPr>
      </w:pPr>
      <w:r>
        <w:rPr>
          <w:color w:val="231F20"/>
          <w:spacing w:val="-1"/>
        </w:rPr>
        <w:t>2</w:t>
      </w:r>
      <w:r>
        <w:rPr>
          <w:rFonts w:ascii="PMingLiU" w:eastAsia="PMingLiU" w:hint="eastAsia"/>
          <w:color w:val="231F20"/>
          <w:spacing w:val="-88"/>
        </w:rPr>
        <w:t>、</w:t>
      </w:r>
      <w:r>
        <w:rPr>
          <w:color w:val="231F20"/>
          <w:spacing w:val="2"/>
        </w:rPr>
        <w:t>地区</w:t>
      </w:r>
      <w:r>
        <w:rPr>
          <w:rFonts w:hint="eastAsia"/>
          <w:color w:val="231F20"/>
          <w:spacing w:val="2"/>
          <w:lang w:val="en-US"/>
        </w:rPr>
        <w:t>不设限</w:t>
      </w:r>
      <w:r>
        <w:rPr>
          <w:rFonts w:ascii="PMingLiU" w:eastAsia="PMingLiU" w:hint="eastAsia"/>
          <w:color w:val="231F20"/>
        </w:rPr>
        <w:t>。</w:t>
      </w:r>
    </w:p>
    <w:p w14:paraId="6D7FDB80" w14:textId="77777777" w:rsidR="0088784A" w:rsidRDefault="00150566">
      <w:pPr>
        <w:pStyle w:val="a3"/>
        <w:spacing w:before="7"/>
        <w:ind w:left="562"/>
        <w:rPr>
          <w:rFonts w:ascii="PMingLiU" w:eastAsia="PMingLiU"/>
        </w:rPr>
      </w:pPr>
      <w:r>
        <w:rPr>
          <w:color w:val="231F20"/>
        </w:rPr>
        <w:t>第十</w:t>
      </w:r>
      <w:r>
        <w:rPr>
          <w:rFonts w:hint="eastAsia"/>
          <w:color w:val="231F20"/>
          <w:lang w:val="en-US"/>
        </w:rPr>
        <w:t>六</w:t>
      </w:r>
      <w:r>
        <w:rPr>
          <w:color w:val="231F20"/>
        </w:rPr>
        <w:t>条</w:t>
      </w:r>
      <w:r>
        <w:rPr>
          <w:color w:val="231F20"/>
        </w:rPr>
        <w:t xml:space="preserve"> </w:t>
      </w:r>
      <w:r>
        <w:rPr>
          <w:color w:val="231F20"/>
        </w:rPr>
        <w:t>本条例</w:t>
      </w:r>
      <w:proofErr w:type="gramStart"/>
      <w:r>
        <w:rPr>
          <w:color w:val="231F20"/>
        </w:rPr>
        <w:t>自讨论</w:t>
      </w:r>
      <w:proofErr w:type="gramEnd"/>
      <w:r>
        <w:rPr>
          <w:color w:val="231F20"/>
        </w:rPr>
        <w:t>通过之日起实施</w:t>
      </w:r>
      <w:r>
        <w:rPr>
          <w:rFonts w:ascii="PMingLiU" w:eastAsia="PMingLiU" w:hint="eastAsia"/>
          <w:color w:val="231F20"/>
        </w:rPr>
        <w:t>。</w:t>
      </w:r>
    </w:p>
    <w:p w14:paraId="5D149E4E" w14:textId="77777777" w:rsidR="0088784A" w:rsidRDefault="0088784A">
      <w:pPr>
        <w:rPr>
          <w:rFonts w:ascii="PMingLiU" w:eastAsia="PMingLiU"/>
        </w:rPr>
      </w:pPr>
    </w:p>
    <w:p w14:paraId="7B0A0A3F" w14:textId="77777777" w:rsidR="0088784A" w:rsidRDefault="0088784A">
      <w:pPr>
        <w:rPr>
          <w:rFonts w:ascii="PMingLiU" w:eastAsia="PMingLiU"/>
        </w:rPr>
      </w:pPr>
    </w:p>
    <w:p w14:paraId="4B381304" w14:textId="77777777" w:rsidR="0088784A" w:rsidRDefault="0088784A">
      <w:pPr>
        <w:rPr>
          <w:rFonts w:ascii="PMingLiU" w:eastAsia="PMingLiU"/>
        </w:rPr>
      </w:pPr>
    </w:p>
    <w:p w14:paraId="413E4B4F" w14:textId="77777777" w:rsidR="0088784A" w:rsidRDefault="0088784A">
      <w:pPr>
        <w:rPr>
          <w:rFonts w:ascii="PMingLiU" w:eastAsia="PMingLiU"/>
        </w:rPr>
      </w:pPr>
    </w:p>
    <w:p w14:paraId="0DDBDAC9" w14:textId="77777777" w:rsidR="0088784A" w:rsidRDefault="0088784A">
      <w:pPr>
        <w:rPr>
          <w:rFonts w:ascii="PMingLiU" w:eastAsia="PMingLiU"/>
        </w:rPr>
      </w:pPr>
    </w:p>
    <w:p w14:paraId="6C94EB4F" w14:textId="77777777" w:rsidR="0088784A" w:rsidRPr="005B317E" w:rsidRDefault="0088784A">
      <w:pPr>
        <w:rPr>
          <w:rFonts w:ascii="PMingLiU" w:eastAsiaTheme="minorEastAsia" w:hint="eastAsia"/>
        </w:rPr>
        <w:sectPr w:rsidR="0088784A" w:rsidRPr="005B317E">
          <w:footerReference w:type="even" r:id="rId7"/>
          <w:footerReference w:type="default" r:id="rId8"/>
          <w:pgSz w:w="7940" w:h="11510"/>
          <w:pgMar w:top="960" w:right="620" w:bottom="1100" w:left="620" w:header="0" w:footer="807" w:gutter="0"/>
          <w:cols w:space="720"/>
        </w:sectPr>
      </w:pPr>
    </w:p>
    <w:p w14:paraId="28141C94" w14:textId="77777777" w:rsidR="0088784A" w:rsidRDefault="0088784A" w:rsidP="005B317E">
      <w:pPr>
        <w:spacing w:before="50" w:line="288" w:lineRule="auto"/>
        <w:ind w:right="1288"/>
        <w:rPr>
          <w:rFonts w:ascii="PMingLiU" w:hint="eastAsia"/>
          <w:sz w:val="32"/>
          <w:szCs w:val="32"/>
          <w:lang w:val="en-US"/>
        </w:rPr>
      </w:pPr>
    </w:p>
    <w:sectPr w:rsidR="0088784A">
      <w:pgSz w:w="11906" w:h="16838"/>
      <w:pgMar w:top="1440" w:right="1134" w:bottom="1440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2BB91" w14:textId="77777777" w:rsidR="00150566" w:rsidRDefault="00150566">
      <w:r>
        <w:separator/>
      </w:r>
    </w:p>
  </w:endnote>
  <w:endnote w:type="continuationSeparator" w:id="0">
    <w:p w14:paraId="7C14921C" w14:textId="77777777" w:rsidR="00150566" w:rsidRDefault="001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3BB94" w14:textId="77777777" w:rsidR="0088784A" w:rsidRDefault="00150566">
    <w:pPr>
      <w:pStyle w:val="a3"/>
      <w:spacing w:line="14" w:lineRule="auto"/>
      <w:rPr>
        <w:sz w:val="20"/>
      </w:rPr>
    </w:pPr>
    <w:r>
      <w:pict w14:anchorId="50DEBD87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9.55pt;margin-top:518.75pt;width:35.85pt;height:23.35pt;z-index:-263920640;mso-position-horizontal-relative:page;mso-position-vertical-relative:page;mso-width-relative:page;mso-height-relative:page" filled="f" stroked="f">
          <v:textbox style="mso-next-textbox:#_x0000_s3074" inset="0,0,0,0">
            <w:txbxContent>
              <w:p w14:paraId="6002EA57" w14:textId="77777777" w:rsidR="0088784A" w:rsidRDefault="00150566">
                <w:pPr>
                  <w:pStyle w:val="a3"/>
                  <w:spacing w:before="45"/>
                  <w:ind w:left="20"/>
                  <w:rPr>
                    <w:rFonts w:ascii="Meiryo" w:hAnsi="Meiryo"/>
                  </w:rPr>
                </w:pPr>
                <w:r>
                  <w:rPr>
                    <w:rFonts w:ascii="Meiryo" w:hAnsi="Meiryo"/>
                    <w:color w:val="231F20"/>
                    <w:w w:val="270"/>
                  </w:rPr>
                  <w:t>·</w:t>
                </w:r>
                <w:r>
                  <w:rPr>
                    <w:rFonts w:ascii="Meiryo" w:hAnsi="Meiryo"/>
                    <w:color w:val="231F20"/>
                    <w:spacing w:val="-104"/>
                    <w:w w:val="27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31F20"/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color w:val="231F20"/>
                    <w:spacing w:val="-47"/>
                    <w:w w:val="120"/>
                  </w:rPr>
                  <w:t xml:space="preserve"> </w:t>
                </w:r>
                <w:r>
                  <w:rPr>
                    <w:rFonts w:ascii="Meiryo" w:hAnsi="Meiryo"/>
                    <w:color w:val="231F20"/>
                    <w:w w:val="270"/>
                  </w:rPr>
                  <w:t>·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FCE82" w14:textId="77777777" w:rsidR="0088784A" w:rsidRDefault="00150566">
    <w:pPr>
      <w:pStyle w:val="a3"/>
      <w:spacing w:line="14" w:lineRule="auto"/>
      <w:rPr>
        <w:sz w:val="20"/>
      </w:rPr>
    </w:pPr>
    <w:r>
      <w:pict w14:anchorId="0C19C15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21.4pt;margin-top:518.75pt;width:31.35pt;height:23.35pt;z-index:-263919616;mso-position-horizontal-relative:page;mso-position-vertical-relative:page;mso-width-relative:page;mso-height-relative:page" filled="f" stroked="f">
          <v:textbox style="mso-next-textbox:#_x0000_s3073" inset="0,0,0,0">
            <w:txbxContent>
              <w:p w14:paraId="531A92D3" w14:textId="77777777" w:rsidR="0088784A" w:rsidRDefault="00150566">
                <w:pPr>
                  <w:pStyle w:val="a3"/>
                  <w:spacing w:before="45"/>
                  <w:ind w:left="20"/>
                  <w:rPr>
                    <w:rFonts w:ascii="Meiryo" w:hAnsi="Meiryo"/>
                  </w:rPr>
                </w:pPr>
                <w:r>
                  <w:rPr>
                    <w:rFonts w:ascii="Meiryo" w:hAnsi="Meiryo"/>
                    <w:color w:val="231F20"/>
                    <w:w w:val="275"/>
                  </w:rPr>
                  <w:t>·</w:t>
                </w:r>
                <w:r>
                  <w:rPr>
                    <w:rFonts w:ascii="Meiryo" w:hAnsi="Meiryo"/>
                    <w:color w:val="231F20"/>
                    <w:spacing w:val="-144"/>
                    <w:w w:val="27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31F20"/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color w:val="231F20"/>
                    <w:w w:val="120"/>
                  </w:rPr>
                  <w:t xml:space="preserve"> </w:t>
                </w:r>
                <w:r>
                  <w:rPr>
                    <w:rFonts w:ascii="Meiryo" w:hAnsi="Meiryo"/>
                    <w:color w:val="231F20"/>
                    <w:w w:val="275"/>
                  </w:rPr>
                  <w:t>·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57E87" w14:textId="77777777" w:rsidR="00150566" w:rsidRDefault="00150566">
      <w:r>
        <w:separator/>
      </w:r>
    </w:p>
  </w:footnote>
  <w:footnote w:type="continuationSeparator" w:id="0">
    <w:p w14:paraId="0BD19A38" w14:textId="77777777" w:rsidR="00150566" w:rsidRDefault="00150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evenAndOddHeaders/>
  <w:drawingGridHorizontalSpacing w:val="11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84A"/>
    <w:rsid w:val="00150566"/>
    <w:rsid w:val="005B317E"/>
    <w:rsid w:val="0088784A"/>
    <w:rsid w:val="0C581A25"/>
    <w:rsid w:val="14724236"/>
    <w:rsid w:val="2D4750F3"/>
    <w:rsid w:val="36BF1749"/>
    <w:rsid w:val="39C4764D"/>
    <w:rsid w:val="66B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6976917B"/>
  <w15:docId w15:val="{B70CD4E0-EAAE-43C1-B0BD-3B003AD0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20"/>
      <w:outlineLvl w:val="0"/>
    </w:pPr>
    <w:rPr>
      <w:rFonts w:ascii="Times New Roman" w:eastAsia="Times New Roman" w:hAnsi="Times New Roman" w:cs="Times New Roman"/>
      <w:sz w:val="56"/>
      <w:szCs w:val="56"/>
    </w:rPr>
  </w:style>
  <w:style w:type="paragraph" w:styleId="2">
    <w:name w:val="heading 2"/>
    <w:basedOn w:val="a"/>
    <w:next w:val="a"/>
    <w:uiPriority w:val="1"/>
    <w:qFormat/>
    <w:pPr>
      <w:spacing w:before="59"/>
      <w:ind w:left="56"/>
      <w:outlineLvl w:val="1"/>
    </w:pPr>
    <w:rPr>
      <w:sz w:val="42"/>
      <w:szCs w:val="42"/>
    </w:rPr>
  </w:style>
  <w:style w:type="paragraph" w:styleId="3">
    <w:name w:val="heading 3"/>
    <w:basedOn w:val="a"/>
    <w:next w:val="a"/>
    <w:uiPriority w:val="1"/>
    <w:qFormat/>
    <w:pPr>
      <w:spacing w:before="104"/>
      <w:ind w:left="547"/>
      <w:outlineLvl w:val="2"/>
    </w:pPr>
    <w:rPr>
      <w:sz w:val="39"/>
      <w:szCs w:val="39"/>
    </w:rPr>
  </w:style>
  <w:style w:type="paragraph" w:styleId="4">
    <w:name w:val="heading 4"/>
    <w:basedOn w:val="a"/>
    <w:next w:val="a"/>
    <w:uiPriority w:val="1"/>
    <w:qFormat/>
    <w:pPr>
      <w:spacing w:before="65"/>
      <w:ind w:left="56"/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uiPriority w:val="1"/>
    <w:qFormat/>
    <w:pPr>
      <w:ind w:left="56"/>
      <w:outlineLvl w:val="4"/>
    </w:pPr>
    <w:rPr>
      <w:sz w:val="32"/>
      <w:szCs w:val="32"/>
    </w:rPr>
  </w:style>
  <w:style w:type="paragraph" w:styleId="6">
    <w:name w:val="heading 6"/>
    <w:basedOn w:val="a"/>
    <w:next w:val="a"/>
    <w:uiPriority w:val="1"/>
    <w:qFormat/>
    <w:pPr>
      <w:spacing w:before="215"/>
      <w:ind w:left="56"/>
      <w:jc w:val="center"/>
      <w:outlineLvl w:val="5"/>
    </w:pPr>
    <w:rPr>
      <w:sz w:val="29"/>
      <w:szCs w:val="29"/>
    </w:rPr>
  </w:style>
  <w:style w:type="paragraph" w:styleId="7">
    <w:name w:val="heading 7"/>
    <w:basedOn w:val="a"/>
    <w:next w:val="a"/>
    <w:uiPriority w:val="1"/>
    <w:qFormat/>
    <w:pPr>
      <w:ind w:left="56" w:right="11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uiPriority w:val="1"/>
    <w:qFormat/>
    <w:pPr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uiPriority w:val="1"/>
    <w:qFormat/>
    <w:pPr>
      <w:spacing w:before="73"/>
      <w:ind w:left="1076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202"/>
    </w:pPr>
  </w:style>
  <w:style w:type="paragraph" w:customStyle="1" w:styleId="TableParagraph">
    <w:name w:val="Table Paragraph"/>
    <w:basedOn w:val="a"/>
    <w:uiPriority w:val="1"/>
    <w:qFormat/>
    <w:pPr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Untitiled</dc:title>
  <dc:subject>Untitiled</dc:subject>
  <dc:creator>Founder</dc:creator>
  <cp:keywords>13028120779130102376063038631</cp:keywords>
  <cp:lastModifiedBy>曦 曦</cp:lastModifiedBy>
  <cp:revision>2</cp:revision>
  <dcterms:created xsi:type="dcterms:W3CDTF">2020-05-19T03:44:00Z</dcterms:created>
  <dcterms:modified xsi:type="dcterms:W3CDTF">2020-11-18T08:38:00Z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FantArt</vt:lpwstr>
  </property>
  <property fmtid="{D5CDD505-2E9C-101B-9397-08002B2CF9AE}" pid="4" name="LastSaved">
    <vt:filetime>2020-05-19T00:00:00Z</vt:filetime>
  </property>
  <property fmtid="{D5CDD505-2E9C-101B-9397-08002B2CF9AE}" pid="5" name="KSOProductBuildVer">
    <vt:lpwstr>2052-11.1.0.10132</vt:lpwstr>
  </property>
</Properties>
</file>